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DE452C1">
      <w:pPr>
        <w:numPr>
          <w:ilvl w:val="0"/>
          <w:numId w:val="1"/>
        </w:numPr>
        <w:rPr>
          <w:rFonts w:hint="eastAsia"/>
          <w:lang w:val="en-US" w:eastAsia="zh-CN"/>
        </w:rPr>
      </w:pPr>
      <w:r>
        <w:rPr>
          <w:rFonts w:hint="eastAsia"/>
          <w:lang w:val="en-US" w:eastAsia="zh-CN"/>
        </w:rPr>
        <w:t>块范法</w:t>
      </w:r>
    </w:p>
    <w:p w14:paraId="370124AB">
      <w:pPr>
        <w:keepNext w:val="0"/>
        <w:keepLines w:val="0"/>
        <w:pageBreakBefore w:val="0"/>
        <w:widowControl w:val="0"/>
        <w:numPr>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中国人所使用的是泥范块范法，范铸法工艺流程有四步：①组范、②浇铸、③冷却去范和④打磨，如图1图2所示。以铸造铜爵为例，其原理是首先用黄泥做出器物的模型，即“模”。在模的表面覆盖泥料，待凝固后再分区域剥落下来，形成范（也称为外范），再之后在模的内腔填充泥土，形成芯（也称为内范，或可以把模刮削掉一定的厚度形成芯）。</w:t>
      </w:r>
    </w:p>
    <w:p w14:paraId="441BD69D">
      <w:pPr>
        <w:keepNext w:val="0"/>
        <w:keepLines w:val="0"/>
        <w:pageBreakBefore w:val="0"/>
        <w:widowControl w:val="0"/>
        <w:numPr>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青铜器上精美的花纹则是雕刻在外范的内测，把内范和外范组合在一起，两者之间便会形成空腔，再将冶炼好的铜液从事先留好的浇注口内灌入其中，冷却干燥后打破外范和内范，加以修整打磨，一件精美的青铜器就铸造完成了。特大复杂青铜器的制作方法为分铸合接，如青铜大面具由面部、脸颊后部、眼睛、耳朵等多部位分别铸造，再组合成一体。</w:t>
      </w:r>
    </w:p>
    <w:p w14:paraId="308FA6C2">
      <w:pPr>
        <w:numPr>
          <w:numId w:val="0"/>
        </w:numPr>
        <w:ind w:leftChars="0"/>
        <w:rPr>
          <w:rFonts w:hint="eastAsia"/>
          <w:lang w:val="en-US" w:eastAsia="zh-CN"/>
        </w:rPr>
      </w:pPr>
    </w:p>
    <w:p w14:paraId="095E8032">
      <w:pPr>
        <w:numPr>
          <w:numId w:val="0"/>
        </w:numPr>
        <w:ind w:left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73675" cy="2618105"/>
            <wp:effectExtent l="0" t="0" r="317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273675" cy="2618105"/>
                    </a:xfrm>
                    <a:prstGeom prst="rect">
                      <a:avLst/>
                    </a:prstGeom>
                    <a:noFill/>
                    <a:ln w="9525">
                      <a:noFill/>
                    </a:ln>
                  </pic:spPr>
                </pic:pic>
              </a:graphicData>
            </a:graphic>
          </wp:inline>
        </w:drawing>
      </w:r>
    </w:p>
    <w:p w14:paraId="099B1D63">
      <w:pPr>
        <w:numPr>
          <w:numId w:val="0"/>
        </w:numPr>
        <w:ind w:left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w:t>
      </w:r>
    </w:p>
    <w:p w14:paraId="7B3BE71D">
      <w:pPr>
        <w:numPr>
          <w:numId w:val="0"/>
        </w:numPr>
        <w:ind w:left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（a）块范法制模示意；（b）块范法制范示意；（c）范法制芯示意</w:t>
      </w:r>
    </w:p>
    <w:p w14:paraId="03EE1D72">
      <w:pPr>
        <w:numPr>
          <w:numId w:val="0"/>
        </w:numPr>
        <w:ind w:left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73675" cy="5049520"/>
            <wp:effectExtent l="0" t="0" r="3175" b="825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5273675" cy="5049520"/>
                    </a:xfrm>
                    <a:prstGeom prst="rect">
                      <a:avLst/>
                    </a:prstGeom>
                    <a:noFill/>
                    <a:ln w="9525">
                      <a:noFill/>
                    </a:ln>
                  </pic:spPr>
                </pic:pic>
              </a:graphicData>
            </a:graphic>
          </wp:inline>
        </w:drawing>
      </w:r>
    </w:p>
    <w:p w14:paraId="648A51BA">
      <w:pPr>
        <w:numPr>
          <w:numId w:val="0"/>
        </w:numPr>
        <w:ind w:leftChars="0"/>
        <w:jc w:val="cente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图</w:t>
      </w:r>
      <w:r>
        <w:rPr>
          <w:rFonts w:hint="eastAsia" w:ascii="宋体" w:hAnsi="宋体" w:eastAsia="宋体" w:cs="宋体"/>
          <w:sz w:val="21"/>
          <w:szCs w:val="21"/>
          <w:lang w:val="en-US" w:eastAsia="zh-CN"/>
        </w:rPr>
        <w:t>2</w:t>
      </w:r>
      <w:r>
        <w:rPr>
          <w:rFonts w:hint="default" w:ascii="宋体" w:hAnsi="宋体" w:eastAsia="宋体" w:cs="宋体"/>
          <w:sz w:val="21"/>
          <w:szCs w:val="21"/>
          <w:lang w:val="en-US" w:eastAsia="zh-CN"/>
        </w:rPr>
        <w:t xml:space="preserve"> </w:t>
      </w:r>
    </w:p>
    <w:p w14:paraId="19F2C38C">
      <w:pPr>
        <w:numPr>
          <w:numId w:val="0"/>
        </w:numPr>
        <w:ind w:leftChars="0"/>
        <w:jc w:val="cente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范铸法工艺流程示意图：（a）组范；（b）浇筑；（c）冷却去范；（d）打磨</w:t>
      </w:r>
    </w:p>
    <w:p w14:paraId="30E4F9D1">
      <w:pPr>
        <w:numPr>
          <w:numId w:val="0"/>
        </w:numPr>
        <w:ind w:left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73675" cy="3402965"/>
            <wp:effectExtent l="0" t="0" r="3175" b="6985"/>
            <wp:docPr id="1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IMG_256"/>
                    <pic:cNvPicPr>
                      <a:picLocks noChangeAspect="1"/>
                    </pic:cNvPicPr>
                  </pic:nvPicPr>
                  <pic:blipFill>
                    <a:blip r:embed="rId6"/>
                    <a:stretch>
                      <a:fillRect/>
                    </a:stretch>
                  </pic:blipFill>
                  <pic:spPr>
                    <a:xfrm>
                      <a:off x="0" y="0"/>
                      <a:ext cx="5273675" cy="3402965"/>
                    </a:xfrm>
                    <a:prstGeom prst="rect">
                      <a:avLst/>
                    </a:prstGeom>
                    <a:noFill/>
                    <a:ln w="9525">
                      <a:noFill/>
                    </a:ln>
                  </pic:spPr>
                </pic:pic>
              </a:graphicData>
            </a:graphic>
          </wp:inline>
        </w:drawing>
      </w:r>
    </w:p>
    <w:p w14:paraId="3E8CBBDA">
      <w:pPr>
        <w:numPr>
          <w:numId w:val="0"/>
        </w:numPr>
        <w:ind w:leftChars="0"/>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图3 </w:t>
      </w:r>
      <w:r>
        <w:rPr>
          <w:rFonts w:hint="default" w:ascii="宋体" w:hAnsi="宋体" w:eastAsia="宋体" w:cs="宋体"/>
          <w:sz w:val="21"/>
          <w:szCs w:val="21"/>
          <w:lang w:val="en-US" w:eastAsia="zh-CN"/>
        </w:rPr>
        <w:t>型范组合示意图</w:t>
      </w:r>
    </w:p>
    <w:p w14:paraId="01650632">
      <w:pPr>
        <w:numPr>
          <w:ilvl w:val="0"/>
          <w:numId w:val="1"/>
        </w:numPr>
        <w:rPr>
          <w:rFonts w:hint="default"/>
          <w:lang w:val="en-US" w:eastAsia="zh-CN"/>
        </w:rPr>
      </w:pPr>
      <w:r>
        <w:rPr>
          <w:rFonts w:hint="eastAsia"/>
          <w:lang w:val="en-US" w:eastAsia="zh-CN"/>
        </w:rPr>
        <w:t>铸合法（拼铸法）</w:t>
      </w:r>
    </w:p>
    <w:p w14:paraId="0DD9F497">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即一件器物有部分铸件预先铸成</w:t>
      </w:r>
      <w:r>
        <w:rPr>
          <w:rFonts w:hint="eastAsia"/>
          <w:lang w:val="en-US" w:eastAsia="zh-CN"/>
        </w:rPr>
        <w:t>，</w:t>
      </w:r>
      <w:r>
        <w:rPr>
          <w:rFonts w:hint="default"/>
          <w:lang w:val="en-US" w:eastAsia="zh-CN"/>
        </w:rPr>
        <w:t>然后镶入待铸的铸件范中</w:t>
      </w:r>
      <w:r>
        <w:rPr>
          <w:rFonts w:hint="eastAsia"/>
          <w:lang w:val="en-US" w:eastAsia="zh-CN"/>
        </w:rPr>
        <w:t>，</w:t>
      </w:r>
      <w:r>
        <w:rPr>
          <w:rFonts w:hint="default"/>
          <w:lang w:val="en-US" w:eastAsia="zh-CN"/>
        </w:rPr>
        <w:t>当向这后铸的铸件范中浇铸铜液时</w:t>
      </w:r>
      <w:r>
        <w:rPr>
          <w:rFonts w:hint="eastAsia"/>
          <w:lang w:val="en-US" w:eastAsia="zh-CN"/>
        </w:rPr>
        <w:t>，</w:t>
      </w:r>
      <w:r>
        <w:rPr>
          <w:rFonts w:hint="default"/>
          <w:lang w:val="en-US" w:eastAsia="zh-CN"/>
        </w:rPr>
        <w:t>预先铸成之铸件即与后铸的铸件因预先的结构设计而实现机械的锁合，从而相互结为一体。</w:t>
      </w:r>
    </w:p>
    <w:p w14:paraId="673C67EE">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铸合法有两种不同的工作程序：</w:t>
      </w:r>
    </w:p>
    <w:p w14:paraId="4FFA3F68">
      <w:pPr>
        <w:keepNext w:val="0"/>
        <w:keepLines w:val="0"/>
        <w:pageBreakBefore w:val="0"/>
        <w:widowControl w:val="0"/>
        <w:numPr>
          <w:ilvl w:val="0"/>
          <w:numId w:val="2"/>
        </w:numPr>
        <w:kinsoku/>
        <w:wordWrap/>
        <w:overflowPunct/>
        <w:topLinePunct w:val="0"/>
        <w:autoSpaceDE/>
        <w:autoSpaceDN/>
        <w:bidi w:val="0"/>
        <w:adjustRightInd/>
        <w:snapToGrid/>
        <w:ind w:left="425" w:leftChars="0" w:firstLine="420" w:firstLineChars="200"/>
        <w:jc w:val="both"/>
        <w:textAlignment w:val="auto"/>
        <w:rPr>
          <w:rFonts w:hint="default"/>
          <w:lang w:val="en-US" w:eastAsia="zh-CN"/>
        </w:rPr>
      </w:pPr>
      <w:r>
        <w:rPr>
          <w:rFonts w:hint="eastAsia"/>
          <w:lang w:val="en-US" w:eastAsia="zh-CN"/>
        </w:rPr>
        <w:t>先铸器体，然后再在其上接铸小的附件。依此种程序操作，器体与接铸的附件有两种具体的机械锁合形式：</w:t>
      </w:r>
    </w:p>
    <w:p w14:paraId="71E3F406">
      <w:pPr>
        <w:keepNext w:val="0"/>
        <w:keepLines w:val="0"/>
        <w:pageBreakBefore w:val="0"/>
        <w:widowControl w:val="0"/>
        <w:numPr>
          <w:ilvl w:val="0"/>
          <w:numId w:val="3"/>
        </w:numPr>
        <w:kinsoku/>
        <w:wordWrap/>
        <w:overflowPunct/>
        <w:topLinePunct w:val="0"/>
        <w:autoSpaceDE/>
        <w:autoSpaceDN/>
        <w:bidi w:val="0"/>
        <w:adjustRightInd/>
        <w:snapToGrid/>
        <w:ind w:left="425" w:leftChars="0" w:firstLine="420" w:firstLineChars="200"/>
        <w:jc w:val="both"/>
        <w:textAlignment w:val="auto"/>
        <w:rPr>
          <w:rFonts w:hint="default"/>
          <w:lang w:val="en-US" w:eastAsia="zh-CN"/>
        </w:rPr>
      </w:pPr>
      <w:r>
        <w:rPr>
          <w:rFonts w:hint="eastAsia"/>
          <w:lang w:val="en-US" w:eastAsia="zh-CN"/>
        </w:rPr>
        <w:t>榫卯式。此种方式可以殷墟五号墓出土的方罍（791）肩部四隅怪兽与罍肩铸合为例。在铸造器体时，已在预定要接铸件的部位铸出了接榫。接铸附件时，在接榫处安放铸造附件用的块范，使芯范包住榫，进行浇注，从而使附件通过榫卯结构与器体铸合在一起。</w:t>
      </w:r>
    </w:p>
    <w:p w14:paraId="4686CE48">
      <w:pPr>
        <w:widowControl w:val="0"/>
        <w:numPr>
          <w:numId w:val="0"/>
        </w:numPr>
        <w:ind w:left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5220970" cy="8862695"/>
            <wp:effectExtent l="0" t="0" r="8255" b="508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7"/>
                    <a:stretch>
                      <a:fillRect/>
                    </a:stretch>
                  </pic:blipFill>
                  <pic:spPr>
                    <a:xfrm>
                      <a:off x="0" y="0"/>
                      <a:ext cx="5220970" cy="8862695"/>
                    </a:xfrm>
                    <a:prstGeom prst="rect">
                      <a:avLst/>
                    </a:prstGeom>
                    <a:noFill/>
                    <a:ln w="9525">
                      <a:noFill/>
                    </a:ln>
                  </pic:spPr>
                </pic:pic>
              </a:graphicData>
            </a:graphic>
          </wp:inline>
        </w:drawing>
      </w:r>
    </w:p>
    <w:p w14:paraId="02E356B9">
      <w:pPr>
        <w:widowControl w:val="0"/>
        <w:numPr>
          <w:numId w:val="0"/>
        </w:numPr>
        <w:ind w:leftChars="0"/>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图4</w:t>
      </w:r>
    </w:p>
    <w:p w14:paraId="23CBDE00">
      <w:pPr>
        <w:widowControl w:val="0"/>
        <w:numPr>
          <w:numId w:val="0"/>
        </w:numPr>
        <w:ind w:left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榫卯式铸合法示意图（殷墟妇好墓出土791方罍）</w:t>
      </w:r>
    </w:p>
    <w:p w14:paraId="3007A4B9">
      <w:pPr>
        <w:widowControl w:val="0"/>
        <w:numPr>
          <w:numId w:val="0"/>
        </w:numPr>
        <w:ind w:leftChars="0"/>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1.罍体 2.兽头 </w:t>
      </w:r>
    </w:p>
    <w:p w14:paraId="6F28AB42">
      <w:pPr>
        <w:keepNext w:val="0"/>
        <w:keepLines w:val="0"/>
        <w:pageBreakBefore w:val="0"/>
        <w:widowControl w:val="0"/>
        <w:numPr>
          <w:ilvl w:val="0"/>
          <w:numId w:val="3"/>
        </w:numPr>
        <w:kinsoku/>
        <w:wordWrap/>
        <w:overflowPunct/>
        <w:topLinePunct w:val="0"/>
        <w:autoSpaceDE/>
        <w:autoSpaceDN/>
        <w:bidi w:val="0"/>
        <w:adjustRightInd/>
        <w:snapToGrid/>
        <w:ind w:left="425" w:leftChars="0" w:firstLine="420" w:firstLineChars="200"/>
        <w:jc w:val="both"/>
        <w:textAlignment w:val="auto"/>
        <w:rPr>
          <w:rFonts w:hint="eastAsia"/>
          <w:lang w:val="en-US" w:eastAsia="zh-CN"/>
        </w:rPr>
      </w:pPr>
      <w:r>
        <w:rPr>
          <w:rFonts w:hint="eastAsia"/>
          <w:lang w:val="en-US" w:eastAsia="zh-CN"/>
        </w:rPr>
        <w:t>铆接式。对于薄壁铸件一般采用铆接式。因壁薄，接榫势必很细，附件加铸其上易折断。</w:t>
      </w:r>
    </w:p>
    <w:p w14:paraId="1C86DF9E">
      <w:pPr>
        <w:keepNext w:val="0"/>
        <w:keepLines w:val="0"/>
        <w:pageBreakBefore w:val="0"/>
        <w:widowControl w:val="0"/>
        <w:numPr>
          <w:numId w:val="0"/>
        </w:numPr>
        <w:kinsoku/>
        <w:wordWrap/>
        <w:overflowPunct/>
        <w:topLinePunct w:val="0"/>
        <w:autoSpaceDE/>
        <w:autoSpaceDN/>
        <w:bidi w:val="0"/>
        <w:adjustRightInd/>
        <w:snapToGrid/>
        <w:ind w:leftChars="0" w:firstLine="420" w:firstLineChars="200"/>
        <w:jc w:val="both"/>
        <w:textAlignment w:val="auto"/>
        <w:rPr>
          <w:rFonts w:hint="eastAsia"/>
          <w:lang w:val="en-US" w:eastAsia="zh-CN"/>
        </w:rPr>
      </w:pPr>
      <w:r>
        <w:rPr>
          <w:rFonts w:hint="eastAsia"/>
          <w:lang w:val="en-US" w:eastAsia="zh-CN"/>
        </w:rPr>
        <w:t>此种方式可以殷墟五号墓出土甑（767）的器体与耳的连接方式为例，即先在器壁上预先铸出孔洞，在其上制耳范，器内壁制成圆形铆钉状范，罩住预铸的孔洞，当熔铜流进孔洞，进入壁内之圆铆钉范，冷凝后，则使耳部牢牢地与器壁相连。</w:t>
      </w:r>
    </w:p>
    <w:p w14:paraId="36215EC4">
      <w:pPr>
        <w:keepNext w:val="0"/>
        <w:keepLines w:val="0"/>
        <w:pageBreakBefore w:val="0"/>
        <w:widowControl w:val="0"/>
        <w:numPr>
          <w:numId w:val="0"/>
        </w:numPr>
        <w:kinsoku/>
        <w:wordWrap/>
        <w:overflowPunct/>
        <w:topLinePunct w:val="0"/>
        <w:autoSpaceDE/>
        <w:autoSpaceDN/>
        <w:bidi w:val="0"/>
        <w:adjustRightInd/>
        <w:snapToGrid/>
        <w:ind w:leftChars="0" w:firstLine="420" w:firstLineChars="200"/>
        <w:jc w:val="both"/>
        <w:textAlignment w:val="auto"/>
        <w:rPr>
          <w:rFonts w:hint="eastAsia"/>
          <w:lang w:val="en-US" w:eastAsia="zh-CN"/>
        </w:rPr>
      </w:pPr>
      <w:r>
        <w:rPr>
          <w:rFonts w:hint="eastAsia"/>
          <w:lang w:val="en-US" w:eastAsia="zh-CN"/>
        </w:rPr>
        <w:t>殷代晚期著名的司母戊（姤戊）大方鼎的铸造亦是采用此种在器体上补铸附件的铸合法制成的。据考察，大鼎除双耳外的部分是由四块腹范、顶范、芯范连底范与四块烧口范构成。每块腹范皆是由中间一块长方形整范与周围嵌入的六块带纹饰的分范构成，顶范与腹范形成了足的型腔，并由足芯使之成为空心（图6）。以上口沿、腹、足浇铸一次铸成，然后再补铸鼎耳，铸成后的鼎耳下端夹跨于鼎口沿的两侧，其用意显然是为了要加强鼎耳与身的联结。由此亦可证鼎耳不是先铸的，如是先铸耳，则应让耳嵌铸于器体之内。鼎耳与口沿的连接方式如图7所示。</w:t>
      </w:r>
    </w:p>
    <w:p w14:paraId="67A738FF">
      <w:pPr>
        <w:keepNext w:val="0"/>
        <w:keepLines w:val="0"/>
        <w:pageBreakBefore w:val="0"/>
        <w:widowControl w:val="0"/>
        <w:numPr>
          <w:numId w:val="0"/>
        </w:numPr>
        <w:kinsoku/>
        <w:wordWrap/>
        <w:overflowPunct/>
        <w:topLinePunct w:val="0"/>
        <w:autoSpaceDE/>
        <w:autoSpaceDN/>
        <w:bidi w:val="0"/>
        <w:adjustRightInd/>
        <w:snapToGrid/>
        <w:ind w:leftChars="0" w:firstLine="420" w:firstLineChars="200"/>
        <w:jc w:val="both"/>
        <w:textAlignment w:val="auto"/>
        <w:rPr>
          <w:rFonts w:hint="eastAsia"/>
          <w:lang w:val="en-US" w:eastAsia="zh-CN"/>
        </w:rPr>
      </w:pPr>
      <w:r>
        <w:rPr>
          <w:rFonts w:hint="eastAsia"/>
          <w:lang w:val="en-US" w:eastAsia="zh-CN"/>
        </w:rPr>
        <w:t>为了能在口沿上接铸鼎耳，需要预先在口沿上铸出接榫，耳的侧面须分块制范，翻出花纹。浇口设在鼎耳朝内没有花纹的那一面，浇注后将浇口残留铜块除去。</w:t>
      </w:r>
      <w:r>
        <w:rPr>
          <w:rFonts w:hint="eastAsia"/>
          <w:lang w:val="en-US" w:eastAsia="zh-CN"/>
        </w:rPr>
        <w:drawing>
          <wp:inline distT="0" distB="0" distL="114300" distR="114300">
            <wp:extent cx="5266690" cy="2574290"/>
            <wp:effectExtent l="0" t="0" r="635" b="6985"/>
            <wp:docPr id="11" name="图片 11" descr="a12b2ffec5713b487f9e5223221c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a12b2ffec5713b487f9e5223221c858"/>
                    <pic:cNvPicPr>
                      <a:picLocks noChangeAspect="1"/>
                    </pic:cNvPicPr>
                  </pic:nvPicPr>
                  <pic:blipFill>
                    <a:blip r:embed="rId8"/>
                    <a:stretch>
                      <a:fillRect/>
                    </a:stretch>
                  </pic:blipFill>
                  <pic:spPr>
                    <a:xfrm>
                      <a:off x="0" y="0"/>
                      <a:ext cx="5266690" cy="2574290"/>
                    </a:xfrm>
                    <a:prstGeom prst="rect">
                      <a:avLst/>
                    </a:prstGeom>
                  </pic:spPr>
                </pic:pic>
              </a:graphicData>
            </a:graphic>
          </wp:inline>
        </w:drawing>
      </w:r>
    </w:p>
    <w:p w14:paraId="518C6F68">
      <w:pPr>
        <w:widowControl w:val="0"/>
        <w:numPr>
          <w:numId w:val="0"/>
        </w:numPr>
        <w:ind w:leftChars="0"/>
        <w:jc w:val="center"/>
        <w:rPr>
          <w:rFonts w:hint="eastAsia"/>
          <w:lang w:val="en-US" w:eastAsia="zh-CN"/>
        </w:rPr>
      </w:pPr>
      <w:r>
        <w:rPr>
          <w:rFonts w:hint="eastAsia"/>
          <w:lang w:val="en-US" w:eastAsia="zh-CN"/>
        </w:rPr>
        <w:t>图6 司母戊（姤戊）大方鼎铸型结构示意图</w:t>
      </w:r>
    </w:p>
    <w:p w14:paraId="1A8F9471">
      <w:pPr>
        <w:widowControl w:val="0"/>
        <w:numPr>
          <w:ilvl w:val="0"/>
          <w:numId w:val="4"/>
        </w:numPr>
        <w:ind w:leftChars="0"/>
        <w:jc w:val="center"/>
        <w:rPr>
          <w:rFonts w:hint="default"/>
          <w:lang w:val="en-US" w:eastAsia="zh-CN"/>
        </w:rPr>
      </w:pPr>
      <w:r>
        <w:rPr>
          <w:rFonts w:hint="eastAsia"/>
          <w:lang w:val="en-US" w:eastAsia="zh-CN"/>
        </w:rPr>
        <w:t>铸型及其装配 2. 铸型的剖面图</w:t>
      </w:r>
    </w:p>
    <w:p w14:paraId="1BCAE151">
      <w:pPr>
        <w:widowControl w:val="0"/>
        <w:numPr>
          <w:numId w:val="0"/>
        </w:numPr>
        <w:ind w:leftChars="0"/>
        <w:jc w:val="both"/>
        <w:rPr>
          <w:rFonts w:hint="default"/>
          <w:lang w:val="en-US" w:eastAsia="zh-CN"/>
        </w:rPr>
      </w:pPr>
      <w:r>
        <w:rPr>
          <w:rFonts w:hint="default"/>
          <w:lang w:val="en-US" w:eastAsia="zh-CN"/>
        </w:rPr>
        <w:drawing>
          <wp:inline distT="0" distB="0" distL="114300" distR="114300">
            <wp:extent cx="5271135" cy="3598545"/>
            <wp:effectExtent l="0" t="0" r="5715" b="1905"/>
            <wp:docPr id="10" name="图片 10" descr="04d19cc4d5d4ce92f3eaf6ce22d9f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4d19cc4d5d4ce92f3eaf6ce22d9f96"/>
                    <pic:cNvPicPr>
                      <a:picLocks noChangeAspect="1"/>
                    </pic:cNvPicPr>
                  </pic:nvPicPr>
                  <pic:blipFill>
                    <a:blip r:embed="rId9"/>
                    <a:stretch>
                      <a:fillRect/>
                    </a:stretch>
                  </pic:blipFill>
                  <pic:spPr>
                    <a:xfrm>
                      <a:off x="0" y="0"/>
                      <a:ext cx="5271135" cy="3598545"/>
                    </a:xfrm>
                    <a:prstGeom prst="rect">
                      <a:avLst/>
                    </a:prstGeom>
                  </pic:spPr>
                </pic:pic>
              </a:graphicData>
            </a:graphic>
          </wp:inline>
        </w:drawing>
      </w:r>
    </w:p>
    <w:p w14:paraId="10A38ADE">
      <w:pPr>
        <w:widowControl w:val="0"/>
        <w:numPr>
          <w:numId w:val="0"/>
        </w:numPr>
        <w:ind w:leftChars="0"/>
        <w:jc w:val="center"/>
        <w:rPr>
          <w:rFonts w:hint="eastAsia"/>
          <w:lang w:val="en-US" w:eastAsia="zh-CN"/>
        </w:rPr>
      </w:pPr>
      <w:r>
        <w:rPr>
          <w:rFonts w:hint="eastAsia"/>
          <w:lang w:val="en-US" w:eastAsia="zh-CN"/>
        </w:rPr>
        <w:t>图7 司母戊（姤戊）大方鼎补铸鼎耳之范型结构示意图</w:t>
      </w:r>
    </w:p>
    <w:p w14:paraId="73409610">
      <w:pPr>
        <w:widowControl w:val="0"/>
        <w:numPr>
          <w:ilvl w:val="0"/>
          <w:numId w:val="5"/>
        </w:numPr>
        <w:ind w:leftChars="0"/>
        <w:jc w:val="both"/>
        <w:rPr>
          <w:rFonts w:hint="default"/>
          <w:lang w:val="en-US" w:eastAsia="zh-CN"/>
        </w:rPr>
      </w:pPr>
      <w:r>
        <w:rPr>
          <w:rFonts w:hint="eastAsia"/>
          <w:lang w:val="en-US" w:eastAsia="zh-CN"/>
        </w:rPr>
        <w:t>鼎耳模 2. 鼎耳模和芯的安放 3. 鼎耳底范和侧范 4. 鼎耳泥芯和底范 5. 鼎耳范及其剖视</w:t>
      </w:r>
    </w:p>
    <w:p w14:paraId="31A41F94">
      <w:pPr>
        <w:widowControl w:val="0"/>
        <w:numPr>
          <w:ilvl w:val="0"/>
          <w:numId w:val="2"/>
        </w:numPr>
        <w:ind w:left="425" w:leftChars="0" w:hanging="425" w:firstLineChars="0"/>
        <w:jc w:val="both"/>
        <w:rPr>
          <w:rFonts w:hint="default"/>
          <w:lang w:val="en-US" w:eastAsia="zh-CN"/>
        </w:rPr>
      </w:pPr>
      <w:r>
        <w:rPr>
          <w:rFonts w:hint="eastAsia"/>
          <w:lang w:val="en-US" w:eastAsia="zh-CN"/>
        </w:rPr>
        <w:t>先铸附件，再放入器体陶范中，与器体铸合。依此种程序操作其具体铸合形式可举以下诸例说明：例如殷墟五号墓斝（781）的柱帽与柱的铸合。具体工艺是铸好柱帽,然后再将柱帽内泥芯周缘挖出凹槽，使中心凸出。浇铸斝体后，斝柱金属即裹住柱帽内泥芯的凸起部分，从而使柱帽与柱较牢固地连接起来（图8），但由于泥芯与柱的连接强度较弱，帽内泥芯凸起易破损，所以柱帽一般都是从柱顶脱落。又如殷墟五号墓出土之中柱盂（764），中柱是先已铸成后再置入盂体泥芯中的，使中柱根部稍凸出于盂底之外。当浇注盂体后，中柱即与盂底铸合（图9）</w:t>
      </w:r>
    </w:p>
    <w:p w14:paraId="5DCF5F3C">
      <w:pPr>
        <w:widowControl w:val="0"/>
        <w:numPr>
          <w:numId w:val="0"/>
        </w:numPr>
        <w:ind w:leftChars="0"/>
        <w:jc w:val="both"/>
        <w:rPr>
          <w:rFonts w:hint="default"/>
          <w:lang w:val="en-US" w:eastAsia="zh-CN"/>
        </w:rPr>
      </w:pPr>
      <w:r>
        <w:rPr>
          <w:rFonts w:hint="default"/>
          <w:lang w:val="en-US" w:eastAsia="zh-CN"/>
        </w:rPr>
        <w:drawing>
          <wp:inline distT="0" distB="0" distL="114300" distR="114300">
            <wp:extent cx="4743450" cy="4743450"/>
            <wp:effectExtent l="0" t="0" r="0" b="0"/>
            <wp:docPr id="12" name="图片 12" descr="a4a5d1fe13d62afd97ccada550b6b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a4a5d1fe13d62afd97ccada550b6b53"/>
                    <pic:cNvPicPr>
                      <a:picLocks noChangeAspect="1"/>
                    </pic:cNvPicPr>
                  </pic:nvPicPr>
                  <pic:blipFill>
                    <a:blip r:embed="rId10"/>
                    <a:stretch>
                      <a:fillRect/>
                    </a:stretch>
                  </pic:blipFill>
                  <pic:spPr>
                    <a:xfrm>
                      <a:off x="0" y="0"/>
                      <a:ext cx="4743450" cy="4743450"/>
                    </a:xfrm>
                    <a:prstGeom prst="rect">
                      <a:avLst/>
                    </a:prstGeom>
                  </pic:spPr>
                </pic:pic>
              </a:graphicData>
            </a:graphic>
          </wp:inline>
        </w:drawing>
      </w:r>
    </w:p>
    <w:p w14:paraId="5A1BA308">
      <w:pPr>
        <w:widowControl w:val="0"/>
        <w:numPr>
          <w:numId w:val="0"/>
        </w:numPr>
        <w:ind w:leftChars="0"/>
        <w:jc w:val="center"/>
        <w:rPr>
          <w:rFonts w:hint="default"/>
          <w:lang w:val="en-US" w:eastAsia="zh-CN"/>
        </w:rPr>
      </w:pPr>
      <w:r>
        <w:rPr>
          <w:rFonts w:hint="eastAsia"/>
          <w:lang w:val="en-US" w:eastAsia="zh-CN"/>
        </w:rPr>
        <w:t>图8 斝帽与柱的铸接</w:t>
      </w:r>
    </w:p>
    <w:p w14:paraId="6929F986">
      <w:pPr>
        <w:widowControl w:val="0"/>
        <w:numPr>
          <w:numId w:val="0"/>
        </w:numPr>
        <w:ind w:leftChars="0"/>
        <w:jc w:val="both"/>
        <w:rPr>
          <w:rFonts w:hint="default"/>
          <w:lang w:val="en-US" w:eastAsia="zh-CN"/>
        </w:rPr>
      </w:pPr>
      <w:r>
        <w:rPr>
          <w:rFonts w:hint="default"/>
          <w:lang w:val="en-US" w:eastAsia="zh-CN"/>
        </w:rPr>
        <w:drawing>
          <wp:inline distT="0" distB="0" distL="114300" distR="114300">
            <wp:extent cx="5273675" cy="3957955"/>
            <wp:effectExtent l="0" t="0" r="3175" b="4445"/>
            <wp:docPr id="14" name="图片 14" descr="7ed1d7fcc9ce1c8ca03bd763a96f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7ed1d7fcc9ce1c8ca03bd763a96f044"/>
                    <pic:cNvPicPr>
                      <a:picLocks noChangeAspect="1"/>
                    </pic:cNvPicPr>
                  </pic:nvPicPr>
                  <pic:blipFill>
                    <a:blip r:embed="rId11"/>
                    <a:stretch>
                      <a:fillRect/>
                    </a:stretch>
                  </pic:blipFill>
                  <pic:spPr>
                    <a:xfrm>
                      <a:off x="0" y="0"/>
                      <a:ext cx="5273675" cy="3957955"/>
                    </a:xfrm>
                    <a:prstGeom prst="rect">
                      <a:avLst/>
                    </a:prstGeom>
                  </pic:spPr>
                </pic:pic>
              </a:graphicData>
            </a:graphic>
          </wp:inline>
        </w:drawing>
      </w:r>
    </w:p>
    <w:p w14:paraId="065B57A3">
      <w:pPr>
        <w:widowControl w:val="0"/>
        <w:numPr>
          <w:numId w:val="0"/>
        </w:numPr>
        <w:ind w:leftChars="0"/>
        <w:jc w:val="center"/>
        <w:rPr>
          <w:rFonts w:hint="default"/>
          <w:lang w:val="en-US" w:eastAsia="zh-CN"/>
        </w:rPr>
      </w:pPr>
      <w:r>
        <w:rPr>
          <w:rFonts w:hint="eastAsia"/>
          <w:lang w:val="en-US" w:eastAsia="zh-CN"/>
        </w:rPr>
        <w:t>图9 中柱盂的中柱与器底的连接方式</w:t>
      </w:r>
    </w:p>
    <w:p w14:paraId="360E39D7">
      <w:pPr>
        <w:numPr>
          <w:ilvl w:val="0"/>
          <w:numId w:val="1"/>
        </w:numPr>
        <w:rPr>
          <w:rFonts w:hint="default"/>
          <w:lang w:val="en-US" w:eastAsia="zh-CN"/>
        </w:rPr>
      </w:pPr>
      <w:r>
        <w:rPr>
          <w:rFonts w:hint="eastAsia"/>
          <w:lang w:val="en-US" w:eastAsia="zh-CN"/>
        </w:rPr>
        <w:t>焊接法</w:t>
      </w:r>
    </w:p>
    <w:p w14:paraId="515F5286">
      <w:pPr>
        <w:numPr>
          <w:numId w:val="0"/>
        </w:numPr>
        <w:rPr>
          <w:rFonts w:hint="default"/>
          <w:lang w:val="en-US" w:eastAsia="zh-CN"/>
        </w:rPr>
      </w:pPr>
      <w:r>
        <w:rPr>
          <w:rFonts w:hint="default"/>
          <w:lang w:val="en-US" w:eastAsia="zh-CN"/>
        </w:rPr>
        <w:t>焊接法即先将同器物的诸部件分别铸好</w:t>
      </w:r>
      <w:r>
        <w:rPr>
          <w:rFonts w:hint="eastAsia"/>
          <w:lang w:val="en-US" w:eastAsia="zh-CN"/>
        </w:rPr>
        <w:t>，</w:t>
      </w:r>
      <w:r>
        <w:rPr>
          <w:rFonts w:hint="default"/>
          <w:lang w:val="en-US" w:eastAsia="zh-CN"/>
        </w:rPr>
        <w:t>然后用熔化的金属(焊料)将各铸件连接在一起。熔点较低的、质软的焊料</w:t>
      </w:r>
      <w:r>
        <w:rPr>
          <w:rFonts w:hint="eastAsia"/>
          <w:lang w:val="en-US" w:eastAsia="zh-CN"/>
        </w:rPr>
        <w:t>（</w:t>
      </w:r>
      <w:r>
        <w:rPr>
          <w:rFonts w:hint="default"/>
          <w:lang w:val="en-US" w:eastAsia="zh-CN"/>
        </w:rPr>
        <w:t>如铅锡合金</w:t>
      </w:r>
      <w:r>
        <w:rPr>
          <w:rFonts w:hint="eastAsia"/>
          <w:lang w:val="en-US" w:eastAsia="zh-CN"/>
        </w:rPr>
        <w:t>）</w:t>
      </w:r>
      <w:r>
        <w:rPr>
          <w:rFonts w:hint="default"/>
          <w:lang w:val="en-US" w:eastAsia="zh-CN"/>
        </w:rPr>
        <w:t>称为软焊料</w:t>
      </w:r>
      <w:r>
        <w:rPr>
          <w:rFonts w:hint="eastAsia"/>
          <w:lang w:val="en-US" w:eastAsia="zh-CN"/>
        </w:rPr>
        <w:t>，</w:t>
      </w:r>
      <w:r>
        <w:rPr>
          <w:rFonts w:hint="default"/>
          <w:lang w:val="en-US" w:eastAsia="zh-CN"/>
        </w:rPr>
        <w:t>亦称焊镴。熔点较高而质硬的焊料称硬焊料。焊接法在商与西周时期青铜器中很少发现。惟黄克映、李京华在分析属西周初年的河南鹿邑太清宫长子口墓出土的方尊</w:t>
      </w:r>
      <w:r>
        <w:rPr>
          <w:rFonts w:hint="eastAsia"/>
          <w:lang w:val="en-US" w:eastAsia="zh-CN"/>
        </w:rPr>
        <w:t>（</w:t>
      </w:r>
      <w:r>
        <w:rPr>
          <w:rFonts w:hint="default"/>
          <w:lang w:val="en-US" w:eastAsia="zh-CN"/>
        </w:rPr>
        <w:t>M1:125</w:t>
      </w:r>
      <w:r>
        <w:rPr>
          <w:rFonts w:hint="eastAsia"/>
          <w:lang w:val="en-US" w:eastAsia="zh-CN"/>
        </w:rPr>
        <w:t>）</w:t>
      </w:r>
      <w:r>
        <w:rPr>
          <w:rFonts w:hint="default"/>
          <w:lang w:val="en-US" w:eastAsia="zh-CN"/>
        </w:rPr>
        <w:t>肩部九个兽头与肩部的联接方法时</w:t>
      </w:r>
      <w:r>
        <w:rPr>
          <w:rFonts w:hint="eastAsia"/>
          <w:lang w:val="en-US" w:eastAsia="zh-CN"/>
        </w:rPr>
        <w:t>，</w:t>
      </w:r>
      <w:r>
        <w:rPr>
          <w:rFonts w:hint="default"/>
          <w:lang w:val="en-US" w:eastAsia="zh-CN"/>
        </w:rPr>
        <w:t>曾指出</w:t>
      </w:r>
      <w:r>
        <w:rPr>
          <w:rFonts w:hint="eastAsia"/>
          <w:lang w:val="en-US" w:eastAsia="zh-CN"/>
        </w:rPr>
        <w:t>：</w:t>
      </w:r>
      <w:r>
        <w:rPr>
          <w:rFonts w:hint="default"/>
          <w:lang w:val="en-US" w:eastAsia="zh-CN"/>
        </w:rPr>
        <w:t>九个兽头为分别铸成</w:t>
      </w:r>
      <w:r>
        <w:rPr>
          <w:rFonts w:hint="eastAsia"/>
          <w:lang w:val="en-US" w:eastAsia="zh-CN"/>
        </w:rPr>
        <w:t>，</w:t>
      </w:r>
      <w:r>
        <w:rPr>
          <w:rFonts w:hint="default"/>
          <w:lang w:val="en-US" w:eastAsia="zh-CN"/>
        </w:rPr>
        <w:t>在兽头与尊体相接处挖去兽头内范芯形成坑卯。在铸尊器身时</w:t>
      </w:r>
      <w:r>
        <w:rPr>
          <w:rFonts w:hint="eastAsia"/>
          <w:lang w:val="en-US" w:eastAsia="zh-CN"/>
        </w:rPr>
        <w:t>，</w:t>
      </w:r>
      <w:r>
        <w:rPr>
          <w:rFonts w:hint="default"/>
          <w:lang w:val="en-US" w:eastAsia="zh-CN"/>
        </w:rPr>
        <w:t>预先在尊肩部铸出九个突榫</w:t>
      </w:r>
      <w:r>
        <w:rPr>
          <w:rFonts w:hint="eastAsia"/>
          <w:lang w:val="en-US" w:eastAsia="zh-CN"/>
        </w:rPr>
        <w:t>，</w:t>
      </w:r>
      <w:r>
        <w:rPr>
          <w:rFonts w:hint="default"/>
          <w:lang w:val="en-US" w:eastAsia="zh-CN"/>
        </w:rPr>
        <w:t>以便插入兽头的坑卯内。在器身铸成后</w:t>
      </w:r>
      <w:r>
        <w:rPr>
          <w:rFonts w:hint="eastAsia"/>
          <w:lang w:val="en-US" w:eastAsia="zh-CN"/>
        </w:rPr>
        <w:t>，</w:t>
      </w:r>
      <w:r>
        <w:rPr>
          <w:rFonts w:hint="default"/>
          <w:lang w:val="en-US" w:eastAsia="zh-CN"/>
        </w:rPr>
        <w:t>往兽头坑卯内注入</w:t>
      </w:r>
      <w:r>
        <w:rPr>
          <w:rFonts w:hint="eastAsia"/>
          <w:lang w:val="en-US" w:eastAsia="zh-CN"/>
        </w:rPr>
        <w:t>“</w:t>
      </w:r>
      <w:r>
        <w:rPr>
          <w:rFonts w:hint="default"/>
          <w:lang w:val="en-US" w:eastAsia="zh-CN"/>
        </w:rPr>
        <w:t>灰色焊接剂</w:t>
      </w:r>
      <w:r>
        <w:rPr>
          <w:rFonts w:hint="eastAsia"/>
          <w:lang w:val="en-US" w:eastAsia="zh-CN"/>
        </w:rPr>
        <w:t>”</w:t>
      </w:r>
      <w:r>
        <w:rPr>
          <w:rFonts w:hint="default"/>
          <w:lang w:val="en-US" w:eastAsia="zh-CN"/>
        </w:rPr>
        <w:t>将兽头与尊上凸榫接在一起。这种方法实际上与前述</w:t>
      </w:r>
      <w:r>
        <w:rPr>
          <w:rFonts w:hint="eastAsia"/>
          <w:lang w:val="en-US" w:eastAsia="zh-CN"/>
        </w:rPr>
        <w:t>“</w:t>
      </w:r>
      <w:r>
        <w:rPr>
          <w:rFonts w:hint="default"/>
          <w:lang w:val="en-US" w:eastAsia="zh-CN"/>
        </w:rPr>
        <w:t>铸合法</w:t>
      </w:r>
      <w:r>
        <w:rPr>
          <w:rFonts w:hint="eastAsia"/>
          <w:lang w:val="en-US" w:eastAsia="zh-CN"/>
        </w:rPr>
        <w:t>”</w:t>
      </w:r>
      <w:r>
        <w:rPr>
          <w:rFonts w:hint="default"/>
          <w:lang w:val="en-US" w:eastAsia="zh-CN"/>
        </w:rPr>
        <w:t>中的</w:t>
      </w:r>
      <w:r>
        <w:rPr>
          <w:rFonts w:hint="eastAsia"/>
          <w:lang w:val="en-US" w:eastAsia="zh-CN"/>
        </w:rPr>
        <w:t>“</w:t>
      </w:r>
      <w:r>
        <w:rPr>
          <w:rFonts w:hint="default"/>
          <w:lang w:val="en-US" w:eastAsia="zh-CN"/>
        </w:rPr>
        <w:t>先铸器体</w:t>
      </w:r>
      <w:r>
        <w:rPr>
          <w:rFonts w:hint="eastAsia"/>
          <w:lang w:val="en-US" w:eastAsia="zh-CN"/>
        </w:rPr>
        <w:t>，</w:t>
      </w:r>
      <w:r>
        <w:rPr>
          <w:rFonts w:hint="default"/>
          <w:lang w:val="en-US" w:eastAsia="zh-CN"/>
        </w:rPr>
        <w:t>然后再在其上接铸小的附件</w:t>
      </w:r>
      <w:r>
        <w:rPr>
          <w:rFonts w:hint="eastAsia"/>
          <w:lang w:val="en-US" w:eastAsia="zh-CN"/>
        </w:rPr>
        <w:t>”</w:t>
      </w:r>
      <w:r>
        <w:rPr>
          <w:rFonts w:hint="default"/>
          <w:lang w:val="en-US" w:eastAsia="zh-CN"/>
        </w:rPr>
        <w:t>之法中的</w:t>
      </w:r>
      <w:r>
        <w:rPr>
          <w:rFonts w:hint="eastAsia"/>
          <w:lang w:val="en-US" w:eastAsia="zh-CN"/>
        </w:rPr>
        <w:t>“</w:t>
      </w:r>
      <w:r>
        <w:rPr>
          <w:rFonts w:hint="default"/>
          <w:lang w:val="en-US" w:eastAsia="zh-CN"/>
        </w:rPr>
        <w:t>榫卯式</w:t>
      </w:r>
      <w:r>
        <w:rPr>
          <w:rFonts w:hint="eastAsia"/>
          <w:lang w:val="en-US" w:eastAsia="zh-CN"/>
        </w:rPr>
        <w:t>”</w:t>
      </w:r>
      <w:r>
        <w:rPr>
          <w:rFonts w:hint="default"/>
          <w:lang w:val="en-US" w:eastAsia="zh-CN"/>
        </w:rPr>
        <w:t>很相近</w:t>
      </w:r>
      <w:r>
        <w:rPr>
          <w:rFonts w:hint="eastAsia"/>
          <w:lang w:val="en-US" w:eastAsia="zh-CN"/>
        </w:rPr>
        <w:t>，</w:t>
      </w:r>
      <w:r>
        <w:rPr>
          <w:rFonts w:hint="default"/>
          <w:lang w:val="en-US" w:eastAsia="zh-CN"/>
        </w:rPr>
        <w:t>只是</w:t>
      </w:r>
      <w:r>
        <w:rPr>
          <w:rFonts w:hint="eastAsia"/>
          <w:lang w:val="en-US" w:eastAsia="zh-CN"/>
        </w:rPr>
        <w:t>“</w:t>
      </w:r>
      <w:r>
        <w:rPr>
          <w:rFonts w:hint="default"/>
          <w:lang w:val="en-US" w:eastAsia="zh-CN"/>
        </w:rPr>
        <w:t>铸合法</w:t>
      </w:r>
      <w:r>
        <w:rPr>
          <w:rFonts w:hint="eastAsia"/>
          <w:lang w:val="en-US" w:eastAsia="zh-CN"/>
        </w:rPr>
        <w:t>”</w:t>
      </w:r>
      <w:r>
        <w:rPr>
          <w:rFonts w:hint="default"/>
          <w:lang w:val="en-US" w:eastAsia="zh-CN"/>
        </w:rPr>
        <w:t>用浇铸方法在器身上接铸小附件</w:t>
      </w:r>
      <w:r>
        <w:rPr>
          <w:rFonts w:hint="eastAsia"/>
          <w:lang w:val="en-US" w:eastAsia="zh-CN"/>
        </w:rPr>
        <w:t>，</w:t>
      </w:r>
      <w:r>
        <w:rPr>
          <w:rFonts w:hint="default"/>
          <w:lang w:val="en-US" w:eastAsia="zh-CN"/>
        </w:rPr>
        <w:t>而这里是指小附件也已先铸好用</w:t>
      </w:r>
      <w:r>
        <w:rPr>
          <w:rFonts w:hint="eastAsia"/>
          <w:lang w:val="en-US" w:eastAsia="zh-CN"/>
        </w:rPr>
        <w:t>“</w:t>
      </w:r>
      <w:r>
        <w:rPr>
          <w:rFonts w:hint="default"/>
          <w:lang w:val="en-US" w:eastAsia="zh-CN"/>
        </w:rPr>
        <w:t>灰色焊接剂</w:t>
      </w:r>
      <w:r>
        <w:rPr>
          <w:rFonts w:hint="eastAsia"/>
          <w:lang w:val="en-US" w:eastAsia="zh-CN"/>
        </w:rPr>
        <w:t>”</w:t>
      </w:r>
      <w:r>
        <w:rPr>
          <w:rFonts w:hint="default"/>
          <w:lang w:val="en-US" w:eastAsia="zh-CN"/>
        </w:rPr>
        <w:t>焊接于器身上。但此</w:t>
      </w:r>
      <w:r>
        <w:rPr>
          <w:rFonts w:hint="eastAsia"/>
          <w:lang w:val="en-US" w:eastAsia="zh-CN"/>
        </w:rPr>
        <w:t>“</w:t>
      </w:r>
      <w:r>
        <w:rPr>
          <w:rFonts w:hint="default"/>
          <w:lang w:val="en-US" w:eastAsia="zh-CN"/>
        </w:rPr>
        <w:t>灰色焊接剂</w:t>
      </w:r>
      <w:r>
        <w:rPr>
          <w:rFonts w:hint="eastAsia"/>
          <w:lang w:val="en-US" w:eastAsia="zh-CN"/>
        </w:rPr>
        <w:t>”</w:t>
      </w:r>
      <w:r>
        <w:rPr>
          <w:rFonts w:hint="default"/>
          <w:lang w:val="en-US" w:eastAsia="zh-CN"/>
        </w:rPr>
        <w:t>的金属成分尚未公布。</w:t>
      </w:r>
    </w:p>
    <w:p w14:paraId="489DD38E">
      <w:pPr>
        <w:numPr>
          <w:ilvl w:val="0"/>
          <w:numId w:val="1"/>
        </w:numPr>
        <w:rPr>
          <w:rFonts w:hint="default"/>
          <w:lang w:val="en-US" w:eastAsia="zh-CN"/>
        </w:rPr>
      </w:pPr>
      <w:r>
        <w:rPr>
          <w:rFonts w:hint="eastAsia"/>
          <w:lang w:val="en-US" w:eastAsia="zh-CN"/>
        </w:rPr>
        <w:t>失蜡法</w:t>
      </w:r>
    </w:p>
    <w:p w14:paraId="39DCB062">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default"/>
          <w:lang w:val="en-US" w:eastAsia="zh-CN"/>
        </w:rPr>
        <w:t>失蜡法的工艺流程有：泥胚包裹，浇淋细泥，覆盖厚泥；入窑熔蜡；形成空腔（图</w:t>
      </w:r>
      <w:r>
        <w:rPr>
          <w:rFonts w:hint="eastAsia"/>
          <w:lang w:val="en-US" w:eastAsia="zh-CN"/>
        </w:rPr>
        <w:t>10</w:t>
      </w:r>
      <w:r>
        <w:rPr>
          <w:rFonts w:hint="default"/>
          <w:lang w:val="en-US" w:eastAsia="zh-CN"/>
        </w:rPr>
        <w:t>）。首先选取易熔化的材料（如蜂蜡、动物油等）制成蜡块，然后将蜡块雕刻成所要铸的器物，即蜡模。之后在蜡模表面淋浇细腻的泥浆，然后在外表面覆盖厚泥，阴干后烘烤使蜡模熔化流出形成空腔，即为失蜡。最后往空腔内注入铜液，冷却、打磨后得到青铜器（图</w:t>
      </w:r>
      <w:r>
        <w:rPr>
          <w:rFonts w:hint="eastAsia"/>
          <w:lang w:val="en-US" w:eastAsia="zh-CN"/>
        </w:rPr>
        <w:t>11</w:t>
      </w:r>
      <w:r>
        <w:rPr>
          <w:rFonts w:hint="default"/>
          <w:lang w:val="en-US" w:eastAsia="zh-CN"/>
        </w:rPr>
        <w:t>）。失蜡法的发明，几乎可以让青铜器铸造出任何款式，包括那些极其繁缛、令现代人称奇不已的杰作。</w:t>
      </w:r>
    </w:p>
    <w:p w14:paraId="08D89FB3">
      <w:pPr>
        <w:numPr>
          <w:numId w:val="0"/>
        </w:numPr>
        <w:rPr>
          <w:rFonts w:hint="default"/>
          <w:lang w:val="en-US" w:eastAsia="zh-CN"/>
        </w:rPr>
      </w:pPr>
      <w:r>
        <w:rPr>
          <w:rFonts w:hint="default"/>
          <w:lang w:val="en-US" w:eastAsia="zh-CN"/>
        </w:rPr>
        <w:drawing>
          <wp:inline distT="0" distB="0" distL="114300" distR="114300">
            <wp:extent cx="5273675" cy="5049520"/>
            <wp:effectExtent l="0" t="0" r="3175" b="825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2"/>
                    <a:stretch>
                      <a:fillRect/>
                    </a:stretch>
                  </pic:blipFill>
                  <pic:spPr>
                    <a:xfrm>
                      <a:off x="0" y="0"/>
                      <a:ext cx="5273675" cy="5049520"/>
                    </a:xfrm>
                    <a:prstGeom prst="rect">
                      <a:avLst/>
                    </a:prstGeom>
                    <a:noFill/>
                    <a:ln w="9525">
                      <a:noFill/>
                    </a:ln>
                  </pic:spPr>
                </pic:pic>
              </a:graphicData>
            </a:graphic>
          </wp:inline>
        </w:drawing>
      </w:r>
    </w:p>
    <w:p w14:paraId="6862C67C">
      <w:pPr>
        <w:numPr>
          <w:numId w:val="0"/>
        </w:numPr>
        <w:jc w:val="center"/>
        <w:rPr>
          <w:rFonts w:hint="default"/>
          <w:lang w:val="en-US" w:eastAsia="zh-CN"/>
        </w:rPr>
      </w:pPr>
      <w:r>
        <w:rPr>
          <w:rFonts w:hint="default"/>
          <w:lang w:val="en-US" w:eastAsia="zh-CN"/>
        </w:rPr>
        <w:t>图</w:t>
      </w:r>
      <w:r>
        <w:rPr>
          <w:rFonts w:hint="eastAsia"/>
          <w:lang w:val="en-US" w:eastAsia="zh-CN"/>
        </w:rPr>
        <w:t>10</w:t>
      </w:r>
    </w:p>
    <w:p w14:paraId="5E7075EE">
      <w:pPr>
        <w:numPr>
          <w:numId w:val="0"/>
        </w:numPr>
        <w:rPr>
          <w:rFonts w:hint="default"/>
          <w:lang w:val="en-US" w:eastAsia="zh-CN"/>
        </w:rPr>
      </w:pPr>
      <w:r>
        <w:rPr>
          <w:rFonts w:hint="default"/>
          <w:lang w:val="en-US" w:eastAsia="zh-CN"/>
        </w:rPr>
        <w:t>失蜡法失蜡示意：（a）泥肧包裹，浇淋细泥；（b）泥肧包裹，覆盖厚泥；（c）入窑熔蜡；（d）形成空腔</w:t>
      </w:r>
    </w:p>
    <w:p w14:paraId="020E9AC9">
      <w:pPr>
        <w:numPr>
          <w:numId w:val="0"/>
        </w:numPr>
        <w:rPr>
          <w:rFonts w:hint="default"/>
          <w:lang w:val="en-US" w:eastAsia="zh-CN"/>
        </w:rPr>
      </w:pPr>
      <w:r>
        <w:rPr>
          <w:rFonts w:hint="default"/>
          <w:lang w:val="en-US" w:eastAsia="zh-CN"/>
        </w:rPr>
        <w:drawing>
          <wp:inline distT="0" distB="0" distL="114300" distR="114300">
            <wp:extent cx="5273675" cy="3653155"/>
            <wp:effectExtent l="0" t="0" r="3175" b="444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3"/>
                    <a:stretch>
                      <a:fillRect/>
                    </a:stretch>
                  </pic:blipFill>
                  <pic:spPr>
                    <a:xfrm>
                      <a:off x="0" y="0"/>
                      <a:ext cx="5273675" cy="3653155"/>
                    </a:xfrm>
                    <a:prstGeom prst="rect">
                      <a:avLst/>
                    </a:prstGeom>
                    <a:noFill/>
                    <a:ln w="9525">
                      <a:noFill/>
                    </a:ln>
                  </pic:spPr>
                </pic:pic>
              </a:graphicData>
            </a:graphic>
          </wp:inline>
        </w:drawing>
      </w:r>
    </w:p>
    <w:p w14:paraId="154681B1">
      <w:pPr>
        <w:numPr>
          <w:numId w:val="0"/>
        </w:numPr>
        <w:jc w:val="center"/>
        <w:rPr>
          <w:rFonts w:hint="default"/>
          <w:lang w:val="en-US" w:eastAsia="zh-CN"/>
        </w:rPr>
      </w:pPr>
      <w:r>
        <w:rPr>
          <w:rFonts w:hint="default"/>
          <w:lang w:val="en-US" w:eastAsia="zh-CN"/>
        </w:rPr>
        <w:t>图</w:t>
      </w:r>
      <w:r>
        <w:rPr>
          <w:rFonts w:hint="eastAsia"/>
          <w:lang w:val="en-US" w:eastAsia="zh-CN"/>
        </w:rPr>
        <w:t>11</w:t>
      </w:r>
    </w:p>
    <w:p w14:paraId="207D2A18">
      <w:pPr>
        <w:numPr>
          <w:numId w:val="0"/>
        </w:numPr>
        <w:rPr>
          <w:rFonts w:hint="default"/>
          <w:lang w:val="en-US" w:eastAsia="zh-CN"/>
        </w:rPr>
      </w:pPr>
      <w:r>
        <w:rPr>
          <w:rFonts w:hint="default"/>
          <w:lang w:val="en-US" w:eastAsia="zh-CN"/>
        </w:rPr>
        <w:t>失蜡法浇铸成型示意图：（a）浇铸铜液；（b）冷却铸件；（c）敲碎外范，获取铜件；（d）切割浇口并打磨</w:t>
      </w:r>
    </w:p>
    <w:p w14:paraId="33446CCF">
      <w:pPr>
        <w:numPr>
          <w:numId w:val="0"/>
        </w:numPr>
        <w:ind w:leftChars="0"/>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7C0579"/>
    <w:multiLevelType w:val="singleLevel"/>
    <w:tmpl w:val="847C0579"/>
    <w:lvl w:ilvl="0" w:tentative="0">
      <w:start w:val="1"/>
      <w:numFmt w:val="decimal"/>
      <w:suff w:val="space"/>
      <w:lvlText w:val="%1."/>
      <w:lvlJc w:val="left"/>
    </w:lvl>
  </w:abstractNum>
  <w:abstractNum w:abstractNumId="1">
    <w:nsid w:val="B5DCF303"/>
    <w:multiLevelType w:val="singleLevel"/>
    <w:tmpl w:val="B5DCF303"/>
    <w:lvl w:ilvl="0" w:tentative="0">
      <w:start w:val="1"/>
      <w:numFmt w:val="decimal"/>
      <w:lvlText w:val="(%1)"/>
      <w:lvlJc w:val="left"/>
      <w:pPr>
        <w:ind w:left="425" w:hanging="425"/>
      </w:pPr>
      <w:rPr>
        <w:rFonts w:hint="default"/>
      </w:rPr>
    </w:lvl>
  </w:abstractNum>
  <w:abstractNum w:abstractNumId="2">
    <w:nsid w:val="FF6C7DE3"/>
    <w:multiLevelType w:val="singleLevel"/>
    <w:tmpl w:val="FF6C7DE3"/>
    <w:lvl w:ilvl="0" w:tentative="0">
      <w:start w:val="1"/>
      <w:numFmt w:val="upperLetter"/>
      <w:lvlText w:val="%1."/>
      <w:lvlJc w:val="left"/>
      <w:pPr>
        <w:ind w:left="425" w:hanging="425"/>
      </w:pPr>
      <w:rPr>
        <w:rFonts w:hint="default"/>
      </w:rPr>
    </w:lvl>
  </w:abstractNum>
  <w:abstractNum w:abstractNumId="3">
    <w:nsid w:val="44549213"/>
    <w:multiLevelType w:val="singleLevel"/>
    <w:tmpl w:val="44549213"/>
    <w:lvl w:ilvl="0" w:tentative="0">
      <w:start w:val="1"/>
      <w:numFmt w:val="decimal"/>
      <w:suff w:val="space"/>
      <w:lvlText w:val="%1."/>
      <w:lvlJc w:val="left"/>
    </w:lvl>
  </w:abstractNum>
  <w:abstractNum w:abstractNumId="4">
    <w:nsid w:val="7ADEBC37"/>
    <w:multiLevelType w:val="singleLevel"/>
    <w:tmpl w:val="7ADEBC37"/>
    <w:lvl w:ilvl="0" w:tentative="0">
      <w:start w:val="1"/>
      <w:numFmt w:val="decimal"/>
      <w:lvlText w:val="%1."/>
      <w:lvlJc w:val="left"/>
      <w:pPr>
        <w:tabs>
          <w:tab w:val="left" w:pos="312"/>
        </w:tabs>
      </w:p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9F19DB"/>
    <w:rsid w:val="179F19DB"/>
    <w:rsid w:val="1E2646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120</TotalTime>
  <ScaleCrop>false</ScaleCrop>
  <LinksUpToDate>false</LinksUpToDate>
  <CharactersWithSpaces>0</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2025-03-26T11:36:00Z</dcterms:created>
  <dc:creator>WPS_1695777027</dc:creator>
  <cp:lastModifiedBy>WPS_1695777027</cp:lastModifiedBy>
  <dcterms:modified xsi:type="dcterms:W3CDTF">2025-03-26T13:37:10Z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DA78D33BF71D47D383C754E2BDEC2C22_11</vt:lpwstr>
  </property>
  <property fmtid="{D5CDD505-2E9C-101B-9397-08002B2CF9AE}" pid="4" name="KSOTemplateDocerSaveRecord">
    <vt:lpwstr>eyJoZGlkIjoiNDg4NWE1ZThjMmU1ZTdhOTE4NTI2ZDI1MjU4NWU2ZDQiLCJ1c2VySWQiOiIxNTQ0OTUxMzY4In0=</vt:lpwstr>
  </property>
</Properties>
</file>